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2" w:rsidRDefault="00C87222" w:rsidP="00C21707">
      <w:pPr>
        <w:numPr>
          <w:ilvl w:val="0"/>
          <w:numId w:val="2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73A0A">
        <w:rPr>
          <w:rFonts w:ascii="Arial" w:hAnsi="Arial" w:cs="Arial"/>
          <w:bCs/>
          <w:spacing w:val="-3"/>
          <w:sz w:val="22"/>
          <w:szCs w:val="22"/>
        </w:rPr>
        <w:t>The Queensland Floods Commission of Inquiry made three recommendati</w:t>
      </w:r>
      <w:r>
        <w:rPr>
          <w:rFonts w:ascii="Arial" w:hAnsi="Arial" w:cs="Arial"/>
          <w:bCs/>
          <w:spacing w:val="-3"/>
          <w:sz w:val="22"/>
          <w:szCs w:val="22"/>
        </w:rPr>
        <w:t>ons relating to abandoned mines – recommendations 13.17 to 13.19 in its final report.</w:t>
      </w:r>
    </w:p>
    <w:p w:rsidR="00C87222" w:rsidRPr="00E73A0A" w:rsidRDefault="00C87222" w:rsidP="00C21707">
      <w:pPr>
        <w:numPr>
          <w:ilvl w:val="0"/>
          <w:numId w:val="2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Key considerations included</w:t>
      </w:r>
      <w:r w:rsidRPr="00E73A0A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C87222" w:rsidRPr="00E73A0A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>Collation of all information held by government on abandoned mines;</w:t>
      </w:r>
    </w:p>
    <w:p w:rsidR="00C87222" w:rsidRPr="00E73A0A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>Development of a dedicated abandoned mines database to hold this information;</w:t>
      </w:r>
    </w:p>
    <w:p w:rsidR="00C87222" w:rsidRPr="00E73A0A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Using this information to conduct a stock-take of the status and risks associated with abandoned mines in </w:t>
      </w:r>
      <w:smartTag w:uri="urn:schemas-microsoft-com:office:smarttags" w:element="State">
        <w:smartTag w:uri="urn:schemas-microsoft-com:office:smarttags" w:element="place">
          <w:r w:rsidRPr="00E73A0A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:rsidR="00C87222" w:rsidRPr="00E73A0A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Seeking information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landholder </w:t>
      </w:r>
      <w:r>
        <w:rPr>
          <w:rFonts w:ascii="Arial" w:hAnsi="Arial" w:cs="Arial"/>
          <w:bCs/>
          <w:spacing w:val="-3"/>
          <w:sz w:val="22"/>
          <w:szCs w:val="22"/>
        </w:rPr>
        <w:t>about</w:t>
      </w: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 abandoned mines on their properties</w:t>
      </w:r>
      <w:r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C87222" w:rsidRPr="00E73A0A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>Review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 options for managing abandoned mines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 including consideration of potential</w:t>
      </w:r>
      <w:r>
        <w:rPr>
          <w:rFonts w:ascii="Arial" w:hAnsi="Arial" w:cs="Arial"/>
          <w:bCs/>
          <w:spacing w:val="-3"/>
          <w:sz w:val="22"/>
          <w:szCs w:val="22"/>
        </w:rPr>
        <w:t>ly</w:t>
      </w:r>
      <w:r w:rsidRPr="00E73A0A">
        <w:rPr>
          <w:rFonts w:ascii="Arial" w:hAnsi="Arial" w:cs="Arial"/>
          <w:bCs/>
          <w:spacing w:val="-3"/>
          <w:sz w:val="22"/>
          <w:szCs w:val="22"/>
        </w:rPr>
        <w:t xml:space="preserve"> different approaches for abandoned mines on private land versus public land</w:t>
      </w:r>
      <w:r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C87222" w:rsidRPr="0066498B" w:rsidRDefault="00C87222" w:rsidP="00C21707">
      <w:pPr>
        <w:numPr>
          <w:ilvl w:val="1"/>
          <w:numId w:val="21"/>
        </w:numPr>
        <w:tabs>
          <w:tab w:val="clear" w:pos="1440"/>
          <w:tab w:val="num" w:pos="1134"/>
        </w:tabs>
        <w:spacing w:before="240"/>
        <w:ind w:left="1134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73A0A">
        <w:rPr>
          <w:rFonts w:ascii="Arial" w:hAnsi="Arial" w:cs="Arial"/>
          <w:bCs/>
          <w:spacing w:val="-3"/>
          <w:sz w:val="22"/>
          <w:szCs w:val="22"/>
        </w:rPr>
        <w:t>A risk assessment of these different approaches.</w:t>
      </w:r>
    </w:p>
    <w:p w:rsidR="00C87222" w:rsidRPr="00380338" w:rsidRDefault="00C87222" w:rsidP="00C21707">
      <w:pPr>
        <w:numPr>
          <w:ilvl w:val="0"/>
          <w:numId w:val="2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0338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380338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C87222" w:rsidRPr="00970501" w:rsidRDefault="00C87222" w:rsidP="00C21707">
      <w:pPr>
        <w:numPr>
          <w:ilvl w:val="0"/>
          <w:numId w:val="24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70501">
        <w:rPr>
          <w:rFonts w:ascii="Arial" w:hAnsi="Arial" w:cs="Arial"/>
          <w:sz w:val="22"/>
          <w:szCs w:val="22"/>
        </w:rPr>
        <w:t xml:space="preserve"> state-wide abandoned mines database </w:t>
      </w:r>
      <w:r>
        <w:rPr>
          <w:rFonts w:ascii="Arial" w:hAnsi="Arial" w:cs="Arial"/>
          <w:sz w:val="22"/>
          <w:szCs w:val="22"/>
        </w:rPr>
        <w:t xml:space="preserve">is being developed </w:t>
      </w:r>
      <w:r w:rsidRPr="00E26DD9">
        <w:rPr>
          <w:rFonts w:ascii="Arial" w:hAnsi="Arial" w:cs="Arial"/>
          <w:sz w:val="22"/>
          <w:szCs w:val="22"/>
        </w:rPr>
        <w:t>to consolidate existing data on abandoned mines in accordance with the government response to the Queensland Floods Commission of Inquiry</w:t>
      </w:r>
      <w:r>
        <w:rPr>
          <w:rFonts w:ascii="Arial" w:hAnsi="Arial" w:cs="Arial"/>
          <w:sz w:val="22"/>
          <w:szCs w:val="22"/>
        </w:rPr>
        <w:t>.</w:t>
      </w:r>
    </w:p>
    <w:p w:rsidR="00C87222" w:rsidRDefault="00C87222" w:rsidP="00C21707">
      <w:pPr>
        <w:numPr>
          <w:ilvl w:val="0"/>
          <w:numId w:val="24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70501">
        <w:rPr>
          <w:rFonts w:ascii="Arial" w:hAnsi="Arial" w:cs="Arial"/>
          <w:sz w:val="22"/>
          <w:szCs w:val="22"/>
        </w:rPr>
        <w:t xml:space="preserve">nformation </w:t>
      </w:r>
      <w:r>
        <w:rPr>
          <w:rFonts w:ascii="Arial" w:hAnsi="Arial" w:cs="Arial"/>
          <w:sz w:val="22"/>
          <w:szCs w:val="22"/>
        </w:rPr>
        <w:t xml:space="preserve">will also be gathered </w:t>
      </w:r>
      <w:r w:rsidRPr="00970501">
        <w:rPr>
          <w:rFonts w:ascii="Arial" w:hAnsi="Arial" w:cs="Arial"/>
          <w:sz w:val="22"/>
          <w:szCs w:val="22"/>
        </w:rPr>
        <w:t xml:space="preserve">from landholders </w:t>
      </w:r>
      <w:r>
        <w:rPr>
          <w:rFonts w:ascii="Arial" w:hAnsi="Arial" w:cs="Arial"/>
          <w:sz w:val="22"/>
          <w:szCs w:val="22"/>
        </w:rPr>
        <w:t>about</w:t>
      </w:r>
      <w:r w:rsidRPr="00970501">
        <w:rPr>
          <w:rFonts w:ascii="Arial" w:hAnsi="Arial" w:cs="Arial"/>
          <w:sz w:val="22"/>
          <w:szCs w:val="22"/>
        </w:rPr>
        <w:t xml:space="preserve"> abandoned mines </w:t>
      </w:r>
      <w:r>
        <w:rPr>
          <w:rFonts w:ascii="Arial" w:hAnsi="Arial" w:cs="Arial"/>
          <w:sz w:val="22"/>
          <w:szCs w:val="22"/>
        </w:rPr>
        <w:t xml:space="preserve">on their properties </w:t>
      </w:r>
      <w:r w:rsidRPr="00970501">
        <w:rPr>
          <w:rFonts w:ascii="Arial" w:hAnsi="Arial" w:cs="Arial"/>
          <w:sz w:val="22"/>
          <w:szCs w:val="22"/>
        </w:rPr>
        <w:t>through a combination of a web interface and public communications</w:t>
      </w:r>
      <w:r>
        <w:rPr>
          <w:rFonts w:ascii="Arial" w:hAnsi="Arial" w:cs="Arial"/>
          <w:sz w:val="22"/>
          <w:szCs w:val="22"/>
        </w:rPr>
        <w:t>.</w:t>
      </w:r>
    </w:p>
    <w:p w:rsidR="00C87222" w:rsidRDefault="00C87222" w:rsidP="00C21707">
      <w:pPr>
        <w:numPr>
          <w:ilvl w:val="0"/>
          <w:numId w:val="24"/>
        </w:numPr>
        <w:tabs>
          <w:tab w:val="clear" w:pos="720"/>
          <w:tab w:val="num" w:pos="1134"/>
        </w:tabs>
        <w:spacing w:before="24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D5C0D">
        <w:rPr>
          <w:rFonts w:ascii="Arial" w:hAnsi="Arial" w:cs="Arial"/>
          <w:sz w:val="22"/>
          <w:szCs w:val="22"/>
        </w:rPr>
        <w:t xml:space="preserve">he new abandoned mines database will be incomplete, </w:t>
      </w:r>
      <w:r>
        <w:rPr>
          <w:rFonts w:ascii="Arial" w:hAnsi="Arial" w:cs="Arial"/>
          <w:sz w:val="22"/>
          <w:szCs w:val="22"/>
        </w:rPr>
        <w:t xml:space="preserve">but </w:t>
      </w:r>
      <w:r w:rsidRPr="00BD5C0D">
        <w:rPr>
          <w:rFonts w:ascii="Arial" w:hAnsi="Arial" w:cs="Arial"/>
          <w:sz w:val="22"/>
          <w:szCs w:val="22"/>
        </w:rPr>
        <w:t xml:space="preserve">with the additional information provided by landholders and </w:t>
      </w:r>
      <w:r>
        <w:rPr>
          <w:rFonts w:ascii="Arial" w:hAnsi="Arial" w:cs="Arial"/>
          <w:sz w:val="22"/>
          <w:szCs w:val="22"/>
        </w:rPr>
        <w:t>ongoing</w:t>
      </w:r>
      <w:r w:rsidRPr="00BD5C0D">
        <w:rPr>
          <w:rFonts w:ascii="Arial" w:hAnsi="Arial" w:cs="Arial"/>
          <w:sz w:val="22"/>
          <w:szCs w:val="22"/>
        </w:rPr>
        <w:t xml:space="preserve"> abandoned mine site assessments</w:t>
      </w:r>
      <w:r>
        <w:rPr>
          <w:rFonts w:ascii="Arial" w:hAnsi="Arial" w:cs="Arial"/>
          <w:sz w:val="22"/>
          <w:szCs w:val="22"/>
        </w:rPr>
        <w:t>, i</w:t>
      </w:r>
      <w:r w:rsidRPr="00BD5C0D">
        <w:rPr>
          <w:rFonts w:ascii="Arial" w:hAnsi="Arial" w:cs="Arial"/>
          <w:sz w:val="22"/>
          <w:szCs w:val="22"/>
        </w:rPr>
        <w:t xml:space="preserve">t will </w:t>
      </w:r>
      <w:r>
        <w:rPr>
          <w:rFonts w:ascii="Arial" w:hAnsi="Arial" w:cs="Arial"/>
          <w:sz w:val="22"/>
          <w:szCs w:val="22"/>
        </w:rPr>
        <w:t xml:space="preserve">progressively become more complete over time.  It will </w:t>
      </w:r>
      <w:r w:rsidRPr="00BD5C0D">
        <w:rPr>
          <w:rFonts w:ascii="Arial" w:hAnsi="Arial" w:cs="Arial"/>
          <w:sz w:val="22"/>
          <w:szCs w:val="22"/>
        </w:rPr>
        <w:t>allow better risk assessments to be made.</w:t>
      </w:r>
    </w:p>
    <w:p w:rsidR="00C87222" w:rsidRPr="00970501" w:rsidRDefault="00C87222" w:rsidP="00684BE9">
      <w:pPr>
        <w:numPr>
          <w:ilvl w:val="0"/>
          <w:numId w:val="21"/>
        </w:numPr>
        <w:tabs>
          <w:tab w:val="clear" w:pos="72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033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hat remediation works on abandoned mines be staged and prioritised on the basis of risk and that the Department of Natural Resources and Mines develop a transparent risk assessment framework for the prioritisation of remediation works.</w:t>
      </w:r>
    </w:p>
    <w:p w:rsidR="00C87222" w:rsidRPr="000C47BA" w:rsidRDefault="00C87222" w:rsidP="00D84632">
      <w:pPr>
        <w:numPr>
          <w:ilvl w:val="0"/>
          <w:numId w:val="21"/>
        </w:numPr>
        <w:tabs>
          <w:tab w:val="clear" w:pos="720"/>
          <w:tab w:val="num" w:pos="567"/>
        </w:tabs>
        <w:spacing w:before="360"/>
        <w:ind w:left="567" w:hanging="56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0C47BA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C87222" w:rsidRPr="00C07656" w:rsidRDefault="00C87222" w:rsidP="00D84632">
      <w:pPr>
        <w:numPr>
          <w:ilvl w:val="0"/>
          <w:numId w:val="25"/>
        </w:numPr>
        <w:spacing w:before="120"/>
        <w:ind w:left="1281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C87222" w:rsidRPr="00C07656" w:rsidSect="00BB6174">
      <w:headerReference w:type="default" r:id="rId7"/>
      <w:footerReference w:type="default" r:id="rId8"/>
      <w:headerReference w:type="first" r:id="rId9"/>
      <w:pgSz w:w="11907" w:h="16840" w:code="9"/>
      <w:pgMar w:top="1985" w:right="1418" w:bottom="425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79" w:rsidRDefault="00E87879">
      <w:r>
        <w:separator/>
      </w:r>
    </w:p>
  </w:endnote>
  <w:endnote w:type="continuationSeparator" w:id="0">
    <w:p w:rsidR="00E87879" w:rsidRDefault="00E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22" w:rsidRPr="001141E1" w:rsidRDefault="00C87222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79" w:rsidRDefault="00E87879">
      <w:r>
        <w:separator/>
      </w:r>
    </w:p>
  </w:footnote>
  <w:footnote w:type="continuationSeparator" w:id="0">
    <w:p w:rsidR="00E87879" w:rsidRDefault="00E8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22" w:rsidRPr="000400F9" w:rsidRDefault="004D32B0" w:rsidP="0097050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22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87222">
      <w:rPr>
        <w:rFonts w:ascii="Arial" w:hAnsi="Arial" w:cs="Arial"/>
        <w:b/>
        <w:sz w:val="22"/>
        <w:szCs w:val="22"/>
        <w:u w:val="single"/>
      </w:rPr>
      <w:t>June 2012</w:t>
    </w:r>
  </w:p>
  <w:p w:rsidR="00C87222" w:rsidRPr="00970501" w:rsidRDefault="00C87222" w:rsidP="009705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70501">
      <w:rPr>
        <w:rFonts w:ascii="Arial" w:hAnsi="Arial" w:cs="Arial"/>
        <w:b/>
        <w:sz w:val="22"/>
        <w:szCs w:val="22"/>
        <w:u w:val="single"/>
      </w:rPr>
      <w:t xml:space="preserve">Implementation of </w:t>
    </w:r>
    <w:smartTag w:uri="urn:schemas-microsoft-com:office:smarttags" w:element="State">
      <w:r w:rsidRPr="00970501"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 w:rsidRPr="00970501">
      <w:rPr>
        <w:rFonts w:ascii="Arial" w:hAnsi="Arial" w:cs="Arial"/>
        <w:b/>
        <w:sz w:val="22"/>
        <w:szCs w:val="22"/>
        <w:u w:val="single"/>
      </w:rPr>
      <w:t xml:space="preserve"> Floods Commission of Inquiry Recommendations to manage abandoned mines in </w:t>
    </w:r>
    <w:smartTag w:uri="urn:schemas-microsoft-com:office:smarttags" w:element="State">
      <w:smartTag w:uri="urn:schemas-microsoft-com:office:smarttags" w:element="place">
        <w:r w:rsidRPr="00970501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C87222" w:rsidRDefault="00C87222" w:rsidP="009705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C87222" w:rsidRDefault="00C87222" w:rsidP="009705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Assistant Minister for Natural Resources and Mines</w:t>
    </w:r>
  </w:p>
  <w:p w:rsidR="00C87222" w:rsidRPr="00F10DF9" w:rsidRDefault="00C87222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174" w:rsidRPr="00937A4A" w:rsidRDefault="00BB6174" w:rsidP="00BB61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BB6174" w:rsidRPr="00937A4A" w:rsidRDefault="00BB6174" w:rsidP="00BB61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BB6174" w:rsidRPr="00937A4A" w:rsidRDefault="00BB6174" w:rsidP="00BB617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2012</w:t>
    </w:r>
  </w:p>
  <w:p w:rsidR="00C87222" w:rsidRPr="00970501" w:rsidRDefault="00C87222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26DD9">
      <w:rPr>
        <w:rFonts w:ascii="Arial" w:hAnsi="Arial" w:cs="Arial"/>
        <w:b/>
        <w:sz w:val="22"/>
        <w:szCs w:val="22"/>
        <w:u w:val="single"/>
      </w:rPr>
      <w:t>Implementation of risk based management of abandoned mines in Queensland</w:t>
    </w:r>
  </w:p>
  <w:p w:rsidR="00C87222" w:rsidRDefault="00C87222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C87222" w:rsidRPr="00F10DF9" w:rsidRDefault="00C87222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C7AF5"/>
    <w:multiLevelType w:val="multilevel"/>
    <w:tmpl w:val="46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D16673"/>
    <w:multiLevelType w:val="multilevel"/>
    <w:tmpl w:val="27F2F03A"/>
    <w:lvl w:ilvl="0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5D6ED3"/>
    <w:multiLevelType w:val="hybridMultilevel"/>
    <w:tmpl w:val="CB10BC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cs="Times New Roman" w:hint="default"/>
      </w:rPr>
    </w:lvl>
  </w:abstractNum>
  <w:abstractNum w:abstractNumId="21" w15:restartNumberingAfterBreak="0">
    <w:nsid w:val="77427D55"/>
    <w:multiLevelType w:val="hybridMultilevel"/>
    <w:tmpl w:val="46F829EE"/>
    <w:lvl w:ilvl="0" w:tplc="5C383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3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C42D07"/>
    <w:multiLevelType w:val="hybridMultilevel"/>
    <w:tmpl w:val="3A2642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0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14"/>
  </w:num>
  <w:num w:numId="13">
    <w:abstractNumId w:val="19"/>
  </w:num>
  <w:num w:numId="14">
    <w:abstractNumId w:val="6"/>
  </w:num>
  <w:num w:numId="15">
    <w:abstractNumId w:val="5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23"/>
  </w:num>
  <w:num w:numId="21">
    <w:abstractNumId w:val="21"/>
  </w:num>
  <w:num w:numId="22">
    <w:abstractNumId w:val="15"/>
  </w:num>
  <w:num w:numId="23">
    <w:abstractNumId w:val="3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0D82"/>
    <w:rsid w:val="00004545"/>
    <w:rsid w:val="00017C75"/>
    <w:rsid w:val="00021188"/>
    <w:rsid w:val="000400F9"/>
    <w:rsid w:val="00041A0F"/>
    <w:rsid w:val="000430DD"/>
    <w:rsid w:val="00062599"/>
    <w:rsid w:val="00070A40"/>
    <w:rsid w:val="000807B0"/>
    <w:rsid w:val="0009634A"/>
    <w:rsid w:val="000A1D7D"/>
    <w:rsid w:val="000A2BAC"/>
    <w:rsid w:val="000A3BBF"/>
    <w:rsid w:val="000A6E5D"/>
    <w:rsid w:val="000C15F5"/>
    <w:rsid w:val="000C2437"/>
    <w:rsid w:val="000C47BA"/>
    <w:rsid w:val="000C4A15"/>
    <w:rsid w:val="000C7639"/>
    <w:rsid w:val="000D013D"/>
    <w:rsid w:val="000D05D6"/>
    <w:rsid w:val="000E3F6A"/>
    <w:rsid w:val="000E44F8"/>
    <w:rsid w:val="001141E1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90E8A"/>
    <w:rsid w:val="001B5837"/>
    <w:rsid w:val="001C350C"/>
    <w:rsid w:val="001C6B4F"/>
    <w:rsid w:val="001D5A2D"/>
    <w:rsid w:val="001E5583"/>
    <w:rsid w:val="001E6C9A"/>
    <w:rsid w:val="0021344B"/>
    <w:rsid w:val="00216296"/>
    <w:rsid w:val="00222501"/>
    <w:rsid w:val="00222CF4"/>
    <w:rsid w:val="00240160"/>
    <w:rsid w:val="0024220C"/>
    <w:rsid w:val="00242B09"/>
    <w:rsid w:val="00273B58"/>
    <w:rsid w:val="002A6FC7"/>
    <w:rsid w:val="002C29EC"/>
    <w:rsid w:val="002C33A4"/>
    <w:rsid w:val="002E58D6"/>
    <w:rsid w:val="002E5AA0"/>
    <w:rsid w:val="002F7590"/>
    <w:rsid w:val="003024B9"/>
    <w:rsid w:val="003201DC"/>
    <w:rsid w:val="0032302F"/>
    <w:rsid w:val="00330878"/>
    <w:rsid w:val="0033391A"/>
    <w:rsid w:val="00340EF2"/>
    <w:rsid w:val="00355608"/>
    <w:rsid w:val="0036185D"/>
    <w:rsid w:val="003737C1"/>
    <w:rsid w:val="00380338"/>
    <w:rsid w:val="00391750"/>
    <w:rsid w:val="003927E5"/>
    <w:rsid w:val="003A4AA8"/>
    <w:rsid w:val="003A57FA"/>
    <w:rsid w:val="003B5871"/>
    <w:rsid w:val="003C5050"/>
    <w:rsid w:val="003C71CD"/>
    <w:rsid w:val="003D2408"/>
    <w:rsid w:val="003E2D89"/>
    <w:rsid w:val="00412A34"/>
    <w:rsid w:val="004149B9"/>
    <w:rsid w:val="00426D0F"/>
    <w:rsid w:val="00444DCF"/>
    <w:rsid w:val="00464036"/>
    <w:rsid w:val="00464D7C"/>
    <w:rsid w:val="004740B9"/>
    <w:rsid w:val="00476361"/>
    <w:rsid w:val="00476E8B"/>
    <w:rsid w:val="004C65A5"/>
    <w:rsid w:val="004D32B0"/>
    <w:rsid w:val="004D7050"/>
    <w:rsid w:val="004E3AE1"/>
    <w:rsid w:val="004E3BC5"/>
    <w:rsid w:val="004F0DC1"/>
    <w:rsid w:val="004F5D7B"/>
    <w:rsid w:val="0051693F"/>
    <w:rsid w:val="00527730"/>
    <w:rsid w:val="005425AB"/>
    <w:rsid w:val="005577AB"/>
    <w:rsid w:val="00560ED3"/>
    <w:rsid w:val="005A290D"/>
    <w:rsid w:val="005D5BB9"/>
    <w:rsid w:val="005E7616"/>
    <w:rsid w:val="0064268C"/>
    <w:rsid w:val="00656393"/>
    <w:rsid w:val="0066421E"/>
    <w:rsid w:val="0066498B"/>
    <w:rsid w:val="00664B2E"/>
    <w:rsid w:val="00667828"/>
    <w:rsid w:val="0067667D"/>
    <w:rsid w:val="00681813"/>
    <w:rsid w:val="00684BE9"/>
    <w:rsid w:val="006D10AB"/>
    <w:rsid w:val="006D495A"/>
    <w:rsid w:val="006E25A6"/>
    <w:rsid w:val="007362F8"/>
    <w:rsid w:val="00742804"/>
    <w:rsid w:val="00745F4C"/>
    <w:rsid w:val="00750FB7"/>
    <w:rsid w:val="007653EB"/>
    <w:rsid w:val="007823C0"/>
    <w:rsid w:val="00782539"/>
    <w:rsid w:val="0079498D"/>
    <w:rsid w:val="007B6771"/>
    <w:rsid w:val="007C5B4B"/>
    <w:rsid w:val="007C6505"/>
    <w:rsid w:val="007D5192"/>
    <w:rsid w:val="007F46E4"/>
    <w:rsid w:val="00832489"/>
    <w:rsid w:val="00834946"/>
    <w:rsid w:val="00862C15"/>
    <w:rsid w:val="008641DA"/>
    <w:rsid w:val="00867427"/>
    <w:rsid w:val="00870321"/>
    <w:rsid w:val="008A3F6F"/>
    <w:rsid w:val="008A4523"/>
    <w:rsid w:val="008B540E"/>
    <w:rsid w:val="008C3E51"/>
    <w:rsid w:val="008E442D"/>
    <w:rsid w:val="0090137E"/>
    <w:rsid w:val="0090282F"/>
    <w:rsid w:val="00904706"/>
    <w:rsid w:val="00910375"/>
    <w:rsid w:val="00911F6B"/>
    <w:rsid w:val="009175A7"/>
    <w:rsid w:val="009342A1"/>
    <w:rsid w:val="00934403"/>
    <w:rsid w:val="0094685D"/>
    <w:rsid w:val="009551A2"/>
    <w:rsid w:val="009566B7"/>
    <w:rsid w:val="00970501"/>
    <w:rsid w:val="0097619A"/>
    <w:rsid w:val="009D5728"/>
    <w:rsid w:val="009E4DC1"/>
    <w:rsid w:val="009F2656"/>
    <w:rsid w:val="009F4298"/>
    <w:rsid w:val="00A159BA"/>
    <w:rsid w:val="00A17ED0"/>
    <w:rsid w:val="00A41443"/>
    <w:rsid w:val="00A4217C"/>
    <w:rsid w:val="00A45816"/>
    <w:rsid w:val="00A67675"/>
    <w:rsid w:val="00A679F8"/>
    <w:rsid w:val="00A70444"/>
    <w:rsid w:val="00A9344F"/>
    <w:rsid w:val="00AB5421"/>
    <w:rsid w:val="00AB6F21"/>
    <w:rsid w:val="00AB7A49"/>
    <w:rsid w:val="00AD6552"/>
    <w:rsid w:val="00AF43A2"/>
    <w:rsid w:val="00AF610D"/>
    <w:rsid w:val="00B0525E"/>
    <w:rsid w:val="00B20C63"/>
    <w:rsid w:val="00B377F3"/>
    <w:rsid w:val="00B47D7E"/>
    <w:rsid w:val="00B5725E"/>
    <w:rsid w:val="00B97FB4"/>
    <w:rsid w:val="00BB1AFC"/>
    <w:rsid w:val="00BB6174"/>
    <w:rsid w:val="00BD5C0D"/>
    <w:rsid w:val="00BD5C1A"/>
    <w:rsid w:val="00BE346E"/>
    <w:rsid w:val="00BE6867"/>
    <w:rsid w:val="00BF35DF"/>
    <w:rsid w:val="00BF46CA"/>
    <w:rsid w:val="00C0535B"/>
    <w:rsid w:val="00C07656"/>
    <w:rsid w:val="00C16E01"/>
    <w:rsid w:val="00C17E3B"/>
    <w:rsid w:val="00C21707"/>
    <w:rsid w:val="00C25880"/>
    <w:rsid w:val="00C30A86"/>
    <w:rsid w:val="00C31326"/>
    <w:rsid w:val="00C34E32"/>
    <w:rsid w:val="00C44A05"/>
    <w:rsid w:val="00C51F18"/>
    <w:rsid w:val="00C66FE4"/>
    <w:rsid w:val="00C87222"/>
    <w:rsid w:val="00CA4A55"/>
    <w:rsid w:val="00CB44E7"/>
    <w:rsid w:val="00CC0A18"/>
    <w:rsid w:val="00D27A63"/>
    <w:rsid w:val="00D3295D"/>
    <w:rsid w:val="00D50C92"/>
    <w:rsid w:val="00D740A8"/>
    <w:rsid w:val="00D772A3"/>
    <w:rsid w:val="00D82051"/>
    <w:rsid w:val="00D84632"/>
    <w:rsid w:val="00D84B5E"/>
    <w:rsid w:val="00D96412"/>
    <w:rsid w:val="00DA6C5D"/>
    <w:rsid w:val="00DB6FE7"/>
    <w:rsid w:val="00DC4ADE"/>
    <w:rsid w:val="00DD1780"/>
    <w:rsid w:val="00DD6BA7"/>
    <w:rsid w:val="00DE61EC"/>
    <w:rsid w:val="00DE73D5"/>
    <w:rsid w:val="00DF08D6"/>
    <w:rsid w:val="00DF2E2C"/>
    <w:rsid w:val="00DF69A7"/>
    <w:rsid w:val="00E129B6"/>
    <w:rsid w:val="00E26DD9"/>
    <w:rsid w:val="00E464DD"/>
    <w:rsid w:val="00E539DE"/>
    <w:rsid w:val="00E73A0A"/>
    <w:rsid w:val="00E814F1"/>
    <w:rsid w:val="00E84E0F"/>
    <w:rsid w:val="00E87879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10DF9"/>
    <w:rsid w:val="00F209DF"/>
    <w:rsid w:val="00F333F5"/>
    <w:rsid w:val="00F47225"/>
    <w:rsid w:val="00F515D3"/>
    <w:rsid w:val="00F561A5"/>
    <w:rsid w:val="00F679C1"/>
    <w:rsid w:val="00F822D6"/>
    <w:rsid w:val="00F84EFB"/>
    <w:rsid w:val="00F93C82"/>
    <w:rsid w:val="00FA33B7"/>
    <w:rsid w:val="00FA3F84"/>
    <w:rsid w:val="00FB34E3"/>
    <w:rsid w:val="00FB6338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7E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D7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D7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D7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72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72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225"/>
    <w:rPr>
      <w:rFonts w:ascii="Cambria" w:hAnsi="Cambria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B47D7E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225"/>
    <w:rPr>
      <w:rFonts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rsid w:val="00B47D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7D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225"/>
    <w:rPr>
      <w:rFonts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225"/>
    <w:rPr>
      <w:rFonts w:cs="Times New Roman"/>
      <w:color w:val="000000"/>
      <w:sz w:val="2"/>
    </w:rPr>
  </w:style>
  <w:style w:type="paragraph" w:customStyle="1" w:styleId="11">
    <w:name w:val="1(1)"/>
    <w:uiPriority w:val="99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225"/>
    <w:rPr>
      <w:rFonts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C313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13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7225"/>
    <w:rPr>
      <w:rFonts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7225"/>
    <w:rPr>
      <w:rFonts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240</Words>
  <Characters>1431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1669</CharactersWithSpaces>
  <SharedDoc>false</SharedDoc>
  <HyperlinkBase>https://www.cabinet.qld.gov.au/documents/2012/Oct/Risk Based Mgt Aband Mines Qld/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2012-10-03T04:26:00Z</cp:lastPrinted>
  <dcterms:created xsi:type="dcterms:W3CDTF">2017-10-24T23:21:00Z</dcterms:created>
  <dcterms:modified xsi:type="dcterms:W3CDTF">2018-03-06T01:15:00Z</dcterms:modified>
  <cp:category>Mining,Safety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